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E7FFE">
        <w:rPr>
          <w:rFonts w:ascii="Calibri" w:eastAsia="Calibri" w:hAnsi="Calibri" w:cs="Arial"/>
          <w:b/>
          <w:sz w:val="28"/>
          <w:szCs w:val="28"/>
          <w:lang w:eastAsia="en-US"/>
        </w:rPr>
        <w:t>pro část 8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BE7FFE" w:rsidRDefault="00BE7FFE" w:rsidP="00BE7FF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BE7FFE" w:rsidRDefault="00BE7FFE" w:rsidP="00BE7FF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BE7FFE" w:rsidRDefault="00BE7FFE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BE7FFE">
        <w:rPr>
          <w:rFonts w:ascii="Calibri" w:hAnsi="Calibri" w:cs="Arial"/>
          <w:b/>
          <w:sz w:val="24"/>
        </w:rPr>
        <w:t xml:space="preserve">části 8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F96A9B">
        <w:rPr>
          <w:rFonts w:ascii="Calibri" w:hAnsi="Calibri" w:cs="Arial"/>
          <w:b/>
          <w:sz w:val="32"/>
          <w:szCs w:val="32"/>
        </w:rPr>
        <w:t xml:space="preserve">pro COS Pardubické a Orlickoústecké nemocnice </w:t>
      </w:r>
      <w:r w:rsidR="005769B8">
        <w:rPr>
          <w:rFonts w:ascii="Calibri" w:hAnsi="Calibri" w:cs="Arial"/>
          <w:b/>
          <w:sz w:val="32"/>
          <w:szCs w:val="32"/>
        </w:rPr>
        <w:t>8</w:t>
      </w:r>
      <w:r w:rsidR="003842BB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F75FB2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F75FB2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56"/>
        <w:gridCol w:w="13"/>
        <w:gridCol w:w="836"/>
        <w:gridCol w:w="15"/>
        <w:gridCol w:w="1240"/>
        <w:gridCol w:w="36"/>
        <w:gridCol w:w="3543"/>
      </w:tblGrid>
      <w:tr w:rsidR="003842BB" w:rsidRPr="00654188" w:rsidTr="005769B8">
        <w:trPr>
          <w:trHeight w:val="387"/>
          <w:tblHeader/>
        </w:trPr>
        <w:tc>
          <w:tcPr>
            <w:tcW w:w="3956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83" w:type="dxa"/>
            <w:gridSpan w:val="6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667BD0">
              <w:rPr>
                <w:rFonts w:ascii="Calibri" w:hAnsi="Calibri" w:cs="Arial"/>
                <w:b/>
                <w:sz w:val="32"/>
                <w:szCs w:val="32"/>
              </w:rPr>
              <w:t>pro COS Pardubické a Orlickoú</w:t>
            </w:r>
            <w:r w:rsidR="007C4F1B">
              <w:rPr>
                <w:rFonts w:ascii="Calibri" w:hAnsi="Calibri" w:cs="Arial"/>
                <w:b/>
                <w:sz w:val="32"/>
                <w:szCs w:val="32"/>
              </w:rPr>
              <w:t>s</w:t>
            </w:r>
            <w:r w:rsidR="00667BD0">
              <w:rPr>
                <w:rFonts w:ascii="Calibri" w:hAnsi="Calibri" w:cs="Arial"/>
                <w:b/>
                <w:sz w:val="32"/>
                <w:szCs w:val="32"/>
              </w:rPr>
              <w:t xml:space="preserve">tecké nemocnice </w:t>
            </w:r>
            <w:r w:rsidR="005769B8">
              <w:rPr>
                <w:rFonts w:ascii="Calibri" w:hAnsi="Calibri" w:cs="Arial"/>
                <w:b/>
                <w:sz w:val="32"/>
                <w:szCs w:val="32"/>
              </w:rPr>
              <w:t>8</w:t>
            </w:r>
            <w:r>
              <w:rPr>
                <w:rFonts w:ascii="Calibri" w:hAnsi="Calibri" w:cs="Arial"/>
                <w:b/>
                <w:sz w:val="32"/>
                <w:szCs w:val="32"/>
              </w:rPr>
              <w:t xml:space="preserve"> </w:t>
            </w:r>
          </w:p>
        </w:tc>
      </w:tr>
      <w:tr w:rsidR="003842BB" w:rsidRPr="00654188" w:rsidTr="005769B8">
        <w:trPr>
          <w:tblHeader/>
        </w:trPr>
        <w:tc>
          <w:tcPr>
            <w:tcW w:w="3956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4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55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7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6728E2" w:rsidRPr="006728E2">
              <w:rPr>
                <w:rFonts w:asciiTheme="minorHAnsi" w:hAnsiTheme="minorHAnsi"/>
                <w:b/>
                <w:sz w:val="22"/>
              </w:rPr>
              <w:t>nebo</w:t>
            </w:r>
            <w:r w:rsidR="006728E2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00F8C">
              <w:rPr>
                <w:rFonts w:asciiTheme="minorHAnsi" w:hAnsiTheme="minorHAnsi"/>
                <w:b/>
                <w:sz w:val="22"/>
              </w:rPr>
              <w:t>odkaz na stránku v nabídce.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  <w:r w:rsidRPr="00F76171">
              <w:rPr>
                <w:b/>
                <w:bCs/>
              </w:rPr>
              <w:t>Kompatibilita nástrojů DePuy Synthes</w:t>
            </w:r>
            <w:r w:rsidR="002D1E9C">
              <w:rPr>
                <w:b/>
                <w:bCs/>
              </w:rPr>
              <w:t xml:space="preserve"> na pracovišti zadavatele</w:t>
            </w:r>
            <w:r w:rsidRPr="00F76171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COS </w:t>
            </w:r>
            <w:r w:rsidRPr="00F76171">
              <w:rPr>
                <w:b/>
                <w:bCs/>
              </w:rPr>
              <w:t>Pardubick</w:t>
            </w:r>
            <w:r>
              <w:rPr>
                <w:b/>
                <w:bCs/>
              </w:rPr>
              <w:t>a</w:t>
            </w:r>
            <w:r w:rsidRPr="00F76171">
              <w:rPr>
                <w:b/>
                <w:bCs/>
              </w:rPr>
              <w:t xml:space="preserve"> nemocnice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 xml:space="preserve">Manipulátor vlákna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uvolňovač tkání, zahn. 20° nahoru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hrubý pilník rasp, zahn. 20° nahoru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Artroskopický střihač vlákna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 xml:space="preserve">Artroskopický douzlovač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kanulovaný vrták 8 mm - femorální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kanulovaný vrták 9 mm - femorální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kanulovaný vrták 10 mm - femorální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cílič, kompletní pro tibiální cílení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lastRenderedPageBreak/>
              <w:t>Merka stepu 5-12mm,á 0,5mm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Retraktor pro měkké tkáně,rentgentransparentní, tupý, šířka 25 mm,délka 100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Retraktor pro měkké tkáně,rentgentransparentní, tupý, šířka 25 mm,délka 120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Retraktor pro měkké tkáně,rentgentransparentní, tupý, šířka 50 mm,délka 140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Retraktor pro měkké tkáně,rentgentransparentní, tupý, šířka 50 mm,délka 160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Retraktor pro měkké tkáně,rentgentransparentní, tupý, šířka 25 mm,délka 50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Retraktor pro měkké tkáně,rentgentransparentní, tupý, šířka 25 mm,délka 70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Muskulární retraktor, rentgentransparentní, šířka 25 mm, délka 80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Muskulární retraktor, rentgentransparentní, šířka 25 mm, délka 100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Tyč vodící s nastavitelnou svorkou, pro retraktor pro měkké tkáně a sval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Svorka pro přídržný kroužek č.387.336, tmavě modrá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</w:tcPr>
          <w:p w:rsidR="005769B8" w:rsidRPr="003C28BC" w:rsidRDefault="005769B8" w:rsidP="00634E55">
            <w:pPr>
              <w:jc w:val="center"/>
              <w:rPr>
                <w:b/>
                <w:bCs/>
              </w:rPr>
            </w:pPr>
            <w:r w:rsidRPr="003C28BC">
              <w:rPr>
                <w:b/>
                <w:bCs/>
              </w:rPr>
              <w:t>COS Orlickoústecká nemocnice</w:t>
            </w:r>
          </w:p>
        </w:tc>
        <w:tc>
          <w:tcPr>
            <w:tcW w:w="851" w:type="dxa"/>
            <w:gridSpan w:val="2"/>
            <w:noWrap/>
          </w:tcPr>
          <w:p w:rsidR="005769B8" w:rsidRPr="00F76171" w:rsidRDefault="005769B8" w:rsidP="005769B8"/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1072"/>
        </w:trPr>
        <w:tc>
          <w:tcPr>
            <w:tcW w:w="3969" w:type="dxa"/>
            <w:gridSpan w:val="2"/>
          </w:tcPr>
          <w:p w:rsidR="005769B8" w:rsidRPr="00F8224F" w:rsidRDefault="005769B8" w:rsidP="005769B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822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Modulární systém osteosyntetických šroubů, dlah a montážního příslušenství k zajištění a ošetření pacientů se zlomeninou dolního konce pažní kosti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1163"/>
        </w:trPr>
        <w:tc>
          <w:tcPr>
            <w:tcW w:w="3969" w:type="dxa"/>
            <w:gridSpan w:val="2"/>
          </w:tcPr>
          <w:p w:rsidR="005769B8" w:rsidRPr="00413F5D" w:rsidRDefault="005769B8" w:rsidP="005769B8">
            <w:pPr>
              <w:spacing w:line="259" w:lineRule="auto"/>
              <w:contextualSpacing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413F5D">
              <w:rPr>
                <w:rFonts w:asciiTheme="minorHAnsi" w:hAnsiTheme="minorHAnsi"/>
                <w:sz w:val="22"/>
                <w:szCs w:val="22"/>
              </w:rPr>
              <w:t>Kompatibilita se současnými systémy pro olekranon a proximální ulnu</w:t>
            </w:r>
            <w:r w:rsidR="00634E55">
              <w:rPr>
                <w:rFonts w:asciiTheme="minorHAnsi" w:hAnsiTheme="minorHAnsi"/>
                <w:sz w:val="22"/>
                <w:szCs w:val="22"/>
              </w:rPr>
              <w:t xml:space="preserve"> DePuy Synthes</w:t>
            </w:r>
            <w:r w:rsidRPr="00413F5D">
              <w:rPr>
                <w:rFonts w:asciiTheme="minorHAnsi" w:hAnsiTheme="minorHAnsi"/>
                <w:sz w:val="22"/>
                <w:szCs w:val="22"/>
              </w:rPr>
              <w:t xml:space="preserve"> na pracovišti zadavatele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28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rPr>
                <w:rFonts w:asciiTheme="minorHAnsi" w:hAnsiTheme="minorHAnsi"/>
                <w:sz w:val="22"/>
                <w:szCs w:val="22"/>
              </w:rPr>
            </w:pPr>
            <w:r w:rsidRPr="00A255A7">
              <w:rPr>
                <w:rFonts w:asciiTheme="minorHAnsi" w:hAnsiTheme="minorHAnsi"/>
                <w:sz w:val="22"/>
                <w:szCs w:val="22"/>
              </w:rPr>
              <w:t xml:space="preserve">Systém kombinující šrouby různých velikostí umožňující ošetřit i tříštivé zlomeniny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43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rPr>
                <w:rFonts w:asciiTheme="minorHAnsi" w:hAnsiTheme="minorHAnsi"/>
                <w:sz w:val="22"/>
                <w:szCs w:val="22"/>
              </w:rPr>
            </w:pPr>
            <w:r w:rsidRPr="00A255A7">
              <w:rPr>
                <w:rFonts w:asciiTheme="minorHAnsi" w:hAnsiTheme="minorHAnsi"/>
                <w:sz w:val="22"/>
                <w:szCs w:val="22"/>
              </w:rPr>
              <w:t>Úhlově stabilní šrouby s variabilitou zavádění v distální části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28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rPr>
                <w:rFonts w:asciiTheme="minorHAnsi" w:hAnsiTheme="minorHAnsi"/>
                <w:sz w:val="22"/>
                <w:szCs w:val="22"/>
              </w:rPr>
            </w:pPr>
            <w:r w:rsidRPr="00A255A7">
              <w:rPr>
                <w:rFonts w:asciiTheme="minorHAnsi" w:hAnsiTheme="minorHAnsi"/>
                <w:sz w:val="22"/>
                <w:szCs w:val="22"/>
              </w:rPr>
              <w:t xml:space="preserve">Kombinované otvory na diafýze jak pro kortikální tak úhlové šrouby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43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contextualSpacing/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lastRenderedPageBreak/>
              <w:t>Seznam požadovaných položek: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Omezovač kroutícího momentu s rychlospojkou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Rukojeť pro omezovač kroutícího momentu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A255A7">
              <w:rPr>
                <w:rFonts w:asciiTheme="minorHAnsi" w:hAnsiTheme="minorHAnsi" w:cs="Arial"/>
                <w:sz w:val="22"/>
                <w:szCs w:val="22"/>
              </w:rPr>
              <w:t>Rukojeť s rychlospojkou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Kleště repoziční se špičkami, asymetrické, s rychlou aretací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Kleště repoziční periartikulární s kulovitými koncovkami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Hloubkoměr perkutánní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Čep zajišťovací pro dlahy uzamykatelné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vrtáky,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 (kónické),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 (koaxiální),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A255A7">
              <w:rPr>
                <w:rFonts w:asciiTheme="minorHAnsi" w:hAnsiTheme="minorHAnsi" w:cs="Arial"/>
                <w:sz w:val="22"/>
                <w:szCs w:val="22"/>
              </w:rPr>
              <w:t>Šroub extrakční pro šrouby průměru 3.5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Vrták s drážkami pro rychlospojku, min. 3 průměry v min. rozsahu 2.5-3.5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Rukojeť s rychlospojkou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Šroubovák, s drážkou, délka min. 20 cm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Dřík šroubováku pro rychlospojku, samosvorný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Dřík šroubováku, samosvorný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Hloubkoměr pro šrouby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 2.8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Vrták pro rychlospojku, 3-drážkový, průměr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Vrtací šablona univerzální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lastRenderedPageBreak/>
              <w:t xml:space="preserve">Rukojeť pro omezovač kroutícího momentu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Omezovač kroutícího momentu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Zásobník na šrouby,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Víko, ploché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Víko pro modulární vložku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 pro modulární vložku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dlahy loketní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Modulární vložka pro zavádění úhlověstabilních a kortikálních šroubů (½)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zavádění šroubů (½) velikost 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Modulární vložka (1/3) velikost se zásobníkem pro šrouby 2.7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modulární zásobník pro šrouby 3.5 mm, s dlouhoměrkou na šrouby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 pro modulární vložku,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Ocelové víko pro síto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Síto (rám síta s dnem)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Modulární vložka pro dlahy loketní, humerus distální a pravoúhlý olekranon,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 pro modulární vložku,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Dlaha humerální distální, dorsolaterální, s laterální oporou, min. 3 velikosti, pro obě strany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Dlaha humerální distální, dorsolaterální, min. 3 velikosti, pro obě strany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lastRenderedPageBreak/>
              <w:t>Dlaha humerální distální, mediální, min. 3 velikosti, pro obě strany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Šroub kortikální, samořezný, velikosti v min. rozsahu 12-60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46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Šroub zajišťovací samořezný, průměr 3.5 a 2.7 mm, různé velikosti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127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5769B8" w:rsidRDefault="005769B8" w:rsidP="00225624">
      <w:pPr>
        <w:rPr>
          <w:lang w:eastAsia="en-US"/>
        </w:rPr>
      </w:pPr>
    </w:p>
    <w:p w:rsidR="005769B8" w:rsidRDefault="005769B8" w:rsidP="00225624">
      <w:pPr>
        <w:rPr>
          <w:lang w:eastAsia="en-US"/>
        </w:rPr>
      </w:pPr>
    </w:p>
    <w:p w:rsidR="00A33BAA" w:rsidRDefault="00A33BAA" w:rsidP="00A33BAA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A33BAA" w:rsidRDefault="00A33BAA" w:rsidP="00A33BAA">
      <w:pPr>
        <w:ind w:left="426"/>
        <w:jc w:val="both"/>
      </w:pPr>
    </w:p>
    <w:p w:rsidR="005769B8" w:rsidRDefault="00A33BAA" w:rsidP="00F75FB2">
      <w:pPr>
        <w:jc w:val="both"/>
        <w:rPr>
          <w:rFonts w:ascii="Times New Roman" w:hAnsi="Times New Roman"/>
          <w:sz w:val="24"/>
        </w:rPr>
      </w:pPr>
      <w:r>
        <w:t xml:space="preserve">TOLERANCE NA ČÍSELNÉ PARAMETRY, KTERÉ NEJSOU OZNAČENY JAKO MINIMÁLNÍ ČI MAXIMÁLNÍ </w:t>
      </w:r>
      <w:r w:rsidR="00F75FB2">
        <w:t xml:space="preserve">JE </w:t>
      </w:r>
      <w:r>
        <w:t>+/- 10</w:t>
      </w:r>
      <w:r w:rsidR="00F75FB2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F75FB2" w:rsidRDefault="00F75FB2" w:rsidP="009E52CB">
      <w:pPr>
        <w:jc w:val="both"/>
        <w:rPr>
          <w:rFonts w:ascii="Times New Roman" w:hAnsi="Times New Roman"/>
          <w:sz w:val="24"/>
        </w:rPr>
      </w:pPr>
    </w:p>
    <w:p w:rsidR="009E52CB" w:rsidRDefault="009E52CB" w:rsidP="009E52CB">
      <w:pPr>
        <w:jc w:val="both"/>
        <w:rPr>
          <w:rFonts w:ascii="Times New Roman" w:hAnsi="Times New Roman"/>
          <w:sz w:val="24"/>
        </w:rPr>
      </w:pPr>
    </w:p>
    <w:p w:rsidR="009E52CB" w:rsidRDefault="009E52CB" w:rsidP="00F75FB2">
      <w:pPr>
        <w:jc w:val="both"/>
        <w:rPr>
          <w:rFonts w:ascii="Times New Roman" w:hAnsi="Times New Roman"/>
          <w:sz w:val="24"/>
        </w:rPr>
      </w:pPr>
    </w:p>
    <w:p w:rsidR="00F75FB2" w:rsidRDefault="00F75FB2" w:rsidP="00F75FB2">
      <w:pPr>
        <w:jc w:val="both"/>
        <w:rPr>
          <w:rFonts w:ascii="Times New Roman" w:hAnsi="Times New Roman"/>
          <w:sz w:val="24"/>
        </w:rPr>
      </w:pPr>
    </w:p>
    <w:p w:rsidR="00F75FB2" w:rsidRPr="005242DC" w:rsidRDefault="00F75FB2" w:rsidP="00F75FB2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F75FB2" w:rsidRDefault="00F75FB2" w:rsidP="00F75FB2">
      <w:pPr>
        <w:rPr>
          <w:lang w:eastAsia="en-US"/>
        </w:rPr>
      </w:pPr>
    </w:p>
    <w:p w:rsidR="00F75FB2" w:rsidRPr="009B4C50" w:rsidRDefault="00F75FB2" w:rsidP="00F75FB2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bookmarkEnd w:id="0"/>
    <w:p w:rsidR="00F75FB2" w:rsidRDefault="00F75FB2" w:rsidP="00F75FB2">
      <w:pPr>
        <w:jc w:val="both"/>
        <w:rPr>
          <w:lang w:eastAsia="en-US"/>
        </w:rPr>
      </w:pPr>
    </w:p>
    <w:p w:rsidR="005769B8" w:rsidRPr="00225624" w:rsidRDefault="005769B8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83"/>
        <w:gridCol w:w="2556"/>
      </w:tblGrid>
      <w:tr w:rsidR="0065447C" w:rsidRPr="002476E6" w:rsidTr="00F75FB2">
        <w:trPr>
          <w:tblHeader/>
          <w:jc w:val="center"/>
        </w:trPr>
        <w:tc>
          <w:tcPr>
            <w:tcW w:w="7083" w:type="dxa"/>
            <w:shd w:val="clear" w:color="auto" w:fill="F7CAAC" w:themeFill="accent2" w:themeFillTint="66"/>
            <w:vAlign w:val="center"/>
          </w:tcPr>
          <w:p w:rsidR="0065447C" w:rsidRPr="002476E6" w:rsidRDefault="00F75FB2" w:rsidP="00F75FB2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556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F75FB2">
        <w:trPr>
          <w:jc w:val="center"/>
        </w:trPr>
        <w:tc>
          <w:tcPr>
            <w:tcW w:w="708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55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1236D" w:rsidRPr="002476E6" w:rsidTr="00F75FB2">
        <w:trPr>
          <w:jc w:val="center"/>
        </w:trPr>
        <w:tc>
          <w:tcPr>
            <w:tcW w:w="7083" w:type="dxa"/>
            <w:vAlign w:val="center"/>
          </w:tcPr>
          <w:p w:rsidR="0011236D" w:rsidRPr="002476E6" w:rsidRDefault="0011236D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556" w:type="dxa"/>
            <w:vAlign w:val="center"/>
          </w:tcPr>
          <w:p w:rsidR="0011236D" w:rsidRPr="002476E6" w:rsidRDefault="0011236D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75FB2">
        <w:trPr>
          <w:jc w:val="center"/>
        </w:trPr>
        <w:tc>
          <w:tcPr>
            <w:tcW w:w="708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55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75FB2">
        <w:trPr>
          <w:jc w:val="center"/>
        </w:trPr>
        <w:tc>
          <w:tcPr>
            <w:tcW w:w="708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55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75FB2">
        <w:trPr>
          <w:jc w:val="center"/>
        </w:trPr>
        <w:tc>
          <w:tcPr>
            <w:tcW w:w="708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55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F75FB2">
        <w:trPr>
          <w:trHeight w:val="677"/>
          <w:jc w:val="center"/>
        </w:trPr>
        <w:tc>
          <w:tcPr>
            <w:tcW w:w="708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55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63AC" w:rsidRDefault="005163AC">
      <w:r>
        <w:separator/>
      </w:r>
    </w:p>
  </w:endnote>
  <w:endnote w:type="continuationSeparator" w:id="0">
    <w:p w:rsidR="005163AC" w:rsidRDefault="0051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63AC" w:rsidRDefault="005163AC">
      <w:r>
        <w:separator/>
      </w:r>
    </w:p>
  </w:footnote>
  <w:footnote w:type="continuationSeparator" w:id="0">
    <w:p w:rsidR="005163AC" w:rsidRDefault="0051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4E33"/>
    <w:multiLevelType w:val="hybridMultilevel"/>
    <w:tmpl w:val="45541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1236D"/>
    <w:rsid w:val="001258AB"/>
    <w:rsid w:val="00125E54"/>
    <w:rsid w:val="00136081"/>
    <w:rsid w:val="0016156F"/>
    <w:rsid w:val="001770B9"/>
    <w:rsid w:val="00191ADF"/>
    <w:rsid w:val="0019452C"/>
    <w:rsid w:val="00197A5B"/>
    <w:rsid w:val="001B7AE1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B43CA"/>
    <w:rsid w:val="002C543B"/>
    <w:rsid w:val="002C5A20"/>
    <w:rsid w:val="002D0847"/>
    <w:rsid w:val="002D1E9C"/>
    <w:rsid w:val="002D4509"/>
    <w:rsid w:val="00303205"/>
    <w:rsid w:val="00341832"/>
    <w:rsid w:val="00354DF8"/>
    <w:rsid w:val="003842BB"/>
    <w:rsid w:val="003846F9"/>
    <w:rsid w:val="00393D4B"/>
    <w:rsid w:val="00393D63"/>
    <w:rsid w:val="003B40D7"/>
    <w:rsid w:val="003B4A14"/>
    <w:rsid w:val="003C28B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163AC"/>
    <w:rsid w:val="00521903"/>
    <w:rsid w:val="00531FC6"/>
    <w:rsid w:val="005329B0"/>
    <w:rsid w:val="0054515C"/>
    <w:rsid w:val="005457CB"/>
    <w:rsid w:val="0056576E"/>
    <w:rsid w:val="00567235"/>
    <w:rsid w:val="00572533"/>
    <w:rsid w:val="005769B8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4E55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67BD0"/>
    <w:rsid w:val="006728E2"/>
    <w:rsid w:val="0067650B"/>
    <w:rsid w:val="006A669C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531C"/>
    <w:rsid w:val="00756D6D"/>
    <w:rsid w:val="00767CC9"/>
    <w:rsid w:val="00783B7D"/>
    <w:rsid w:val="007B6C29"/>
    <w:rsid w:val="007C4F1B"/>
    <w:rsid w:val="007D1C73"/>
    <w:rsid w:val="007D591C"/>
    <w:rsid w:val="007E7126"/>
    <w:rsid w:val="007F694D"/>
    <w:rsid w:val="007F795F"/>
    <w:rsid w:val="007F7F48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C3B05"/>
    <w:rsid w:val="009E189C"/>
    <w:rsid w:val="009E52CB"/>
    <w:rsid w:val="00A00D45"/>
    <w:rsid w:val="00A075F1"/>
    <w:rsid w:val="00A33BAA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92A81"/>
    <w:rsid w:val="00BB2159"/>
    <w:rsid w:val="00BD6D27"/>
    <w:rsid w:val="00BE7FFE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5FB2"/>
    <w:rsid w:val="00F8224F"/>
    <w:rsid w:val="00F935F7"/>
    <w:rsid w:val="00F96A9B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627DD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99152-6A8E-41E0-AD9C-8B38EABE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1272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2020-06-29T16:05:00Z</dcterms:created>
  <dcterms:modified xsi:type="dcterms:W3CDTF">2020-06-29T16:17:00Z</dcterms:modified>
</cp:coreProperties>
</file>